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31" w:rsidRPr="00590329" w:rsidRDefault="00D65768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</w:p>
    <w:p w:rsidR="00FA3431" w:rsidRPr="00482F69" w:rsidRDefault="00D65768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Наказом</w:t>
      </w:r>
      <w:r w:rsidR="00FA3431" w:rsidRPr="00482F69">
        <w:rPr>
          <w:rFonts w:ascii="Times New Roman" w:hAnsi="Times New Roman"/>
          <w:sz w:val="24"/>
          <w:szCs w:val="24"/>
          <w:lang w:val="uk-UA" w:eastAsia="ru-RU"/>
        </w:rPr>
        <w:t xml:space="preserve"> начальника управління соціального захисту населення  Попаснянської райдержадміністрації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« 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BB70DF" w:rsidRPr="00590329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1D2F5C">
        <w:rPr>
          <w:rFonts w:ascii="Times New Roman" w:hAnsi="Times New Roman"/>
          <w:sz w:val="24"/>
          <w:szCs w:val="24"/>
          <w:u w:val="single"/>
          <w:lang w:val="uk-UA" w:eastAsia="ru-RU"/>
        </w:rPr>
        <w:t>6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»__</w:t>
      </w:r>
      <w:r w:rsidR="001D2F5C">
        <w:rPr>
          <w:rFonts w:ascii="Times New Roman" w:hAnsi="Times New Roman"/>
          <w:sz w:val="24"/>
          <w:szCs w:val="24"/>
          <w:u w:val="single"/>
          <w:lang w:val="uk-UA" w:eastAsia="ru-RU"/>
        </w:rPr>
        <w:t>02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>201</w:t>
      </w:r>
      <w:r w:rsidR="001D2F5C">
        <w:rPr>
          <w:rFonts w:ascii="Times New Roman" w:hAnsi="Times New Roman"/>
          <w:sz w:val="24"/>
          <w:szCs w:val="24"/>
          <w:u w:val="single"/>
          <w:lang w:val="uk-UA" w:eastAsia="ru-RU"/>
        </w:rPr>
        <w:t>9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р. № </w:t>
      </w:r>
      <w:r w:rsidR="00A1058A" w:rsidRPr="00A1058A">
        <w:rPr>
          <w:rFonts w:ascii="Times New Roman" w:hAnsi="Times New Roman"/>
          <w:sz w:val="24"/>
          <w:szCs w:val="24"/>
          <w:u w:val="single"/>
          <w:lang w:val="uk-UA" w:eastAsia="ru-RU"/>
        </w:rPr>
        <w:t>7</w:t>
      </w:r>
      <w:r w:rsidR="00D634EC">
        <w:rPr>
          <w:rFonts w:ascii="Times New Roman" w:hAnsi="Times New Roman"/>
          <w:sz w:val="24"/>
          <w:szCs w:val="24"/>
          <w:u w:val="single"/>
          <w:lang w:val="uk-UA" w:eastAsia="ru-RU"/>
        </w:rPr>
        <w:t>-к</w:t>
      </w:r>
      <w:r w:rsidR="00EE064E">
        <w:rPr>
          <w:rFonts w:ascii="Times New Roman" w:hAnsi="Times New Roman"/>
          <w:sz w:val="24"/>
          <w:szCs w:val="24"/>
          <w:u w:val="single"/>
          <w:lang w:val="uk-UA" w:eastAsia="ru-RU"/>
        </w:rPr>
        <w:t>_</w:t>
      </w: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bookmarkStart w:id="0" w:name="_GoBack"/>
      <w:bookmarkEnd w:id="0"/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E3676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</w:t>
      </w:r>
      <w:r w:rsidR="006E7FD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й</w:t>
      </w:r>
      <w:r w:rsidR="00E3676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няття</w:t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вакантної посади категорії «</w:t>
      </w:r>
      <w:r w:rsidR="001D2F5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</w:t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FA3431" w:rsidRPr="00482F69" w:rsidRDefault="001D2F5C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начальника відділу державних соціальних інспекторів</w:t>
      </w:r>
      <w:r w:rsidR="00FA3431"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FA3431" w:rsidRPr="00126B82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12"/>
        <w:gridCol w:w="3116"/>
        <w:gridCol w:w="5535"/>
      </w:tblGrid>
      <w:tr w:rsidR="00FA3431" w:rsidRPr="004A43CF" w:rsidTr="00D57657">
        <w:tc>
          <w:tcPr>
            <w:tcW w:w="936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3431" w:rsidRPr="00482F69" w:rsidRDefault="00FA3431" w:rsidP="00F77913">
            <w:pPr>
              <w:suppressLineNumbers/>
              <w:suppressAutoHyphens/>
              <w:spacing w:after="0" w:line="240" w:lineRule="auto"/>
              <w:jc w:val="center"/>
              <w:rPr>
                <w:rFonts w:ascii="Antiqua" w:hAnsi="Antiqua" w:cs="Antiqua"/>
                <w:b/>
                <w:sz w:val="24"/>
                <w:szCs w:val="24"/>
                <w:lang w:val="uk-UA" w:eastAsia="ar-SA"/>
              </w:rPr>
            </w:pPr>
            <w:r w:rsidRPr="00482F6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FA3431" w:rsidRPr="004A43CF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Посадові обов’язки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D2F5C" w:rsidRDefault="001D2F5C" w:rsidP="001D2F5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Здійснює керівництво відділом у складі управління,</w:t>
            </w:r>
          </w:p>
          <w:p w:rsidR="001D2F5C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6028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розподіляє обов’язки між працівниками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 очолює та контролює їх роботу.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24"/>
                <w:lang w:val="uk-UA" w:eastAsia="ru-RU"/>
              </w:rPr>
              <w:t>-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Готує звітність щодо роботи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відділу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их соціальних інспекторів.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Організовує та забезпечує контроль, аналіз та оцінку стану справ з відповідного напряму та розробляє пропозиції щодо вдосконалення правового поля.</w:t>
            </w:r>
          </w:p>
          <w:p w:rsidR="001D2F5C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Організовує, відповідно до функціональних завдань, покладених на відділ,  розробку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проектів законодавчих і нормативних актів державних програм, а також нормативних та організаційно – методичних документів.</w:t>
            </w:r>
          </w:p>
          <w:p w:rsidR="001D2F5C" w:rsidRPr="00957F0F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-   Бере участь у засіданні районної комісії</w:t>
            </w:r>
            <w:r w:rsidRPr="00957F0F">
              <w:rPr>
                <w:rFonts w:ascii="Times New Roman" w:hAnsi="Times New Roman"/>
                <w:sz w:val="24"/>
                <w:szCs w:val="24"/>
                <w:lang w:val="uk-UA"/>
              </w:rPr>
              <w:t>по призначенню щомісячної адресної допомоги особам, які переміщуються з тимчасово окупованої території України та районів проведення антитерористичної операції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-Забезпечує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експертизу документів з відповідного напряму роботи 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аналізує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інформацію про результати цієї роботи.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Організовує роботу щодо обробки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вхідної ті вихідної документації.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Організовує та контролює  співпрацю з місцевими органами державної служби зайнятості, служби у справах дітей, територіальними органами Пенсійного фонду України, робочими органами виконавчої дирекції Фонду соціального страхування, а до завершення заходів, пов’язаних з утворенням зазначеного Фонду та його робочих органів, - робочими органами Фонду соціального страхування від нещасних випадків на виробництві та професійних захворювань та Фонду соціального страхування з тимчасової втрати працездатності, центрами соціальних служб для сім</w:t>
            </w:r>
            <w:r w:rsidRPr="00EF2C5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ї, дітей та молоді, державними органами нагляду за охороною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праці соціального захисту населення та проведення соціальних виплат внутрішньо переміщеним особам.   </w:t>
            </w:r>
          </w:p>
          <w:p w:rsidR="001D2F5C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 Здійснює контроль за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ведення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журналів згідно номенклатури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-    Організовує роботу державних соціальних інспекторів з надання 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всіх видів державн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их соціальних допомог та компенсацій, субсидій, виплати внутрішньо переміщеним особам пенсій (щомісячного довічного грошового утримання), довічних державних стипендій, надання соціальних послуг, пільг (далі – соціальні виплати) за рахунок коштів державного та місцевого бюджетів, фондів загальнообов’язкового державного соціального страхування.</w:t>
            </w:r>
          </w:p>
          <w:p w:rsidR="001D2F5C" w:rsidRPr="00A0149A" w:rsidRDefault="001D2F5C" w:rsidP="001D2F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Контролює</w:t>
            </w:r>
            <w:r w:rsidRPr="00A0149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роботу щодо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перевірки достовірності та повноти інформації про доходи і майновий стан осіб, які входять до складу сім’ї, що звертається за призначенням державної соціальної допомоги.    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Організовує здійснення перевірки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достовірності та повноти інформації про фактичне проживання (перебування) внутрішньо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переміщених осіб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рішенням керівника управління соціального захисту населення або його заступника та контролює складання за результатами такої перевірки актів обстеження матеріально – побутових умов сім</w:t>
            </w:r>
            <w:r w:rsidRPr="004939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ї. 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Контролює с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дання актів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підсумками перевірки з висновками правильності призначення державної соціальної допомоги.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Складає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моніторинг призначення та виплати державної соціальної допомоги і проводить аналіз причин порушення законодавства з питань надання державної соціальної допомоги.</w:t>
            </w:r>
          </w:p>
          <w:p w:rsidR="001D2F5C" w:rsidRPr="00A0149A" w:rsidRDefault="001D2F5C" w:rsidP="001D2F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Контролює ф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вання бази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даних про осіб, які одержують державну соціальну допомогу.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Приймає участь у підготовці,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разі потреби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позов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судових органів щодо стягнення надміру виплаченої та наданої з порушенням законодавства державної соціальної допомоги.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Приймає участь у підготовці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пропозиції щодо припинення надання державної соціальної допомоги, позбавлення права на продовження строку її надання, зменшення розміру допомоги у випадках, передбачених законодавством.</w:t>
            </w:r>
          </w:p>
          <w:p w:rsidR="001D2F5C" w:rsidRPr="00A0149A" w:rsidRDefault="001D2F5C" w:rsidP="001D2F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Надає фізичним та юридичним особам консультації та рекомендації з питань призначення державної соціальної допомоги.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Проводить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роз’яснювальну роботу в  районі, у тому числі у засобах масової інформації, з питань надання державної соціальної допомоги.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Організовує співпрацю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місцевими органами державної служби зайнятості, державними органами нагляду за охороною праці, профспілковими та громадськими організаціями у вирішенні питань соціального захисту населення.</w:t>
            </w:r>
          </w:p>
          <w:p w:rsidR="001D2F5C" w:rsidRPr="00A0149A" w:rsidRDefault="001D2F5C" w:rsidP="001D2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Виконує інші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функції</w:t>
            </w:r>
            <w:r w:rsidRPr="00A014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законодавства.</w:t>
            </w:r>
          </w:p>
          <w:p w:rsidR="00691D62" w:rsidRPr="00126B82" w:rsidRDefault="001D2F5C" w:rsidP="001D2F5C">
            <w:pPr>
              <w:tabs>
                <w:tab w:val="left" w:pos="375"/>
              </w:tabs>
              <w:spacing w:after="0" w:line="221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 участь у розв’язанні спірних питань, які виникають під час прийняття документів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відділом державних соціальних інспекторів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A3431" w:rsidRPr="00D65768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5768" w:rsidRPr="009B61AB" w:rsidRDefault="00D65768" w:rsidP="00342113">
            <w:pPr>
              <w:numPr>
                <w:ilvl w:val="0"/>
                <w:numId w:val="9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посадовий оклад </w:t>
            </w:r>
            <w:r w:rsidR="001D2F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10600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грн.;  </w:t>
            </w:r>
          </w:p>
          <w:p w:rsidR="00D65768" w:rsidRPr="009B61AB" w:rsidRDefault="00D65768" w:rsidP="00342113">
            <w:pPr>
              <w:numPr>
                <w:ilvl w:val="0"/>
                <w:numId w:val="9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надбавка за вислугу років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державній службі (за наявності 1 року стажу державної служби)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D65768" w:rsidRPr="009B61AB" w:rsidRDefault="00D65768" w:rsidP="00342113">
            <w:pPr>
              <w:numPr>
                <w:ilvl w:val="0"/>
                <w:numId w:val="9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посадового окладу за ранг згідно постанови Кабінету Міністрів України від 18</w:t>
            </w:r>
            <w:r w:rsidR="001D2F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01.2017 № 15 «Питання оплати праці працівників державних органів» (зі змінами);</w:t>
            </w:r>
          </w:p>
          <w:p w:rsidR="00FA3431" w:rsidRPr="00126B82" w:rsidRDefault="00D65768" w:rsidP="00342113">
            <w:pPr>
              <w:suppressLineNumbers/>
              <w:suppressAutoHyphens/>
              <w:spacing w:after="0" w:line="240" w:lineRule="auto"/>
              <w:rPr>
                <w:rFonts w:ascii="Antiqua" w:hAnsi="Antiqua" w:cs="Antiqua"/>
                <w:sz w:val="24"/>
                <w:szCs w:val="24"/>
                <w:lang w:val="uk-UA" w:eastAsia="ar-S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FA3431" w:rsidRPr="004A43CF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Antiqua" w:hAnsi="Antiqua" w:cs="Antiqua"/>
                <w:sz w:val="28"/>
                <w:szCs w:val="28"/>
                <w:lang w:val="uk-UA" w:eastAsia="ar-SA"/>
              </w:rPr>
            </w:pPr>
            <w:r w:rsidRPr="00B34C61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Безстрокове призначення на вакантну</w:t>
            </w:r>
            <w:r w:rsidRPr="00126B82">
              <w:rPr>
                <w:rFonts w:ascii="Times New Roman" w:hAnsi="Times New Roman"/>
                <w:sz w:val="24"/>
                <w:szCs w:val="24"/>
              </w:rPr>
              <w:t xml:space="preserve"> посаду</w:t>
            </w:r>
          </w:p>
        </w:tc>
      </w:tr>
      <w:tr w:rsidR="00FA3431" w:rsidRPr="00D65768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Antiqua" w:hAnsi="Antiqua" w:cs="Antiqua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15EEE" w:rsidRPr="00315EEE" w:rsidRDefault="00315EEE" w:rsidP="00315E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5E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1) копія паспорта громадянина України; </w:t>
            </w:r>
          </w:p>
          <w:p w:rsidR="00315EEE" w:rsidRPr="00315EEE" w:rsidRDefault="00315EEE" w:rsidP="00315EEE">
            <w:pPr>
              <w:pStyle w:val="p16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5EEE">
              <w:rPr>
                <w:rFonts w:ascii="Times New Roman" w:hAnsi="Times New Roman" w:cs="Times New Roman"/>
                <w:color w:val="000000"/>
                <w:lang w:eastAsia="en-US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315EEE" w:rsidRPr="00315EEE" w:rsidRDefault="00315EEE" w:rsidP="00315EEE">
            <w:pPr>
              <w:pStyle w:val="p16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5E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3) </w:t>
            </w:r>
            <w:r w:rsidRPr="00315EEE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письмова заява, в якій особа повідомляє, що до неї не застосовуються заборони, визначені</w:t>
            </w:r>
            <w:hyperlink r:id="rId6" w:tgtFrame="_blank" w:history="1">
              <w:r w:rsidRPr="00315EEE">
                <w:rPr>
                  <w:rStyle w:val="s3"/>
                  <w:color w:val="000000"/>
                  <w:shd w:val="clear" w:color="auto" w:fill="FFFFFF"/>
                  <w:lang w:eastAsia="en-US"/>
                </w:rPr>
                <w:t>частиною третьою</w:t>
              </w:r>
            </w:hyperlink>
            <w:r w:rsidRPr="00315EEE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або</w:t>
            </w:r>
            <w:hyperlink r:id="rId7" w:tgtFrame="_blank" w:history="1">
              <w:r w:rsidRPr="00315EEE">
                <w:rPr>
                  <w:rStyle w:val="s3"/>
                  <w:color w:val="000000"/>
                  <w:shd w:val="clear" w:color="auto" w:fill="FFFFFF"/>
                  <w:lang w:eastAsia="en-US"/>
                </w:rPr>
                <w:t>четвертою</w:t>
              </w:r>
            </w:hyperlink>
            <w:r w:rsidRPr="00315EEE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15EEE" w:rsidRPr="00315EEE" w:rsidRDefault="00315EEE" w:rsidP="00315EEE">
            <w:pPr>
              <w:pStyle w:val="p16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15EEE">
              <w:rPr>
                <w:rFonts w:ascii="Times New Roman" w:hAnsi="Times New Roman" w:cs="Times New Roman"/>
                <w:color w:val="000000"/>
                <w:lang w:eastAsia="en-US"/>
              </w:rPr>
              <w:t>4) копія (копії) документа (документів) про освіту;</w:t>
            </w:r>
          </w:p>
          <w:p w:rsidR="00315EEE" w:rsidRPr="00315EEE" w:rsidRDefault="00315EEE" w:rsidP="00315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5E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5) оригінал посвідчення а</w:t>
            </w:r>
            <w:r w:rsidRPr="00315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тестації щодо вільного володіння державною мовою</w:t>
            </w:r>
            <w:r w:rsidRPr="00315E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315EEE" w:rsidRPr="00315EEE" w:rsidRDefault="00315EEE" w:rsidP="00315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E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6) заповнена особова картка встановленого зразка</w:t>
            </w:r>
            <w:r w:rsidRPr="00315EE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15EEE" w:rsidRPr="00315EEE" w:rsidRDefault="00315EEE" w:rsidP="00315EEE">
            <w:pPr>
              <w:pStyle w:val="p16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5EEE">
              <w:rPr>
                <w:rFonts w:ascii="Times New Roman" w:hAnsi="Times New Roman" w:cs="Times New Roman"/>
                <w:lang w:eastAsia="en-US"/>
              </w:rPr>
              <w:t>7) декларація особи, уповноваженої на виконання функцій держави або місцевого самоврядування, за 2018 рік (надається у вигляді роздрукованого примірника заповненої декларації на офіційному веб-сайті НАЗК);</w:t>
            </w:r>
          </w:p>
          <w:p w:rsidR="00315EEE" w:rsidRPr="00315EEE" w:rsidRDefault="00315EEE" w:rsidP="00315EEE">
            <w:pPr>
              <w:pStyle w:val="p16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5EEE">
              <w:rPr>
                <w:rFonts w:ascii="Times New Roman" w:hAnsi="Times New Roman" w:cs="Times New Roman"/>
                <w:lang w:eastAsia="en-US"/>
              </w:rPr>
              <w:t>8)</w:t>
            </w:r>
            <w:r w:rsidRPr="00315E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</w:t>
            </w:r>
            <w:r w:rsidRPr="00315EEE">
              <w:rPr>
                <w:rStyle w:val="a7"/>
                <w:rFonts w:ascii="Times New Roman" w:hAnsi="Times New Roman" w:cs="Times New Roman"/>
                <w:color w:val="000000"/>
              </w:rPr>
              <w:t xml:space="preserve">аява </w:t>
            </w:r>
            <w:r w:rsidRPr="00315EEE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Pr="00315EEE">
              <w:rPr>
                <w:rStyle w:val="a7"/>
                <w:rFonts w:ascii="Times New Roman" w:hAnsi="Times New Roman" w:cs="Times New Roman"/>
                <w:color w:val="000000"/>
              </w:rPr>
              <w:t xml:space="preserve">відсутність заборгованості зі сплати аліментів </w:t>
            </w:r>
            <w:r w:rsidRPr="00315EEE">
              <w:rPr>
                <w:rFonts w:ascii="Times New Roman" w:hAnsi="Times New Roman" w:cs="Times New Roman"/>
                <w:color w:val="000000"/>
              </w:rPr>
              <w:t xml:space="preserve">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FA3431" w:rsidRPr="00315EEE" w:rsidRDefault="00315EEE" w:rsidP="00315EEE">
            <w:pPr>
              <w:pStyle w:val="p16"/>
              <w:shd w:val="clear" w:color="auto" w:fill="FFFFFF"/>
              <w:spacing w:before="0" w:after="0"/>
              <w:jc w:val="both"/>
              <w:rPr>
                <w:rFonts w:eastAsia="Times New Roman" w:cs="Times New Roman"/>
                <w:color w:val="000000"/>
                <w:shd w:val="clear" w:color="auto" w:fill="FFFFFF"/>
                <w:lang w:eastAsia="en-US"/>
              </w:rPr>
            </w:pPr>
            <w:r w:rsidRPr="00315EEE">
              <w:rPr>
                <w:rFonts w:ascii="Times New Roman" w:hAnsi="Times New Roman" w:cs="Times New Roman"/>
                <w:lang w:eastAsia="en-US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</w:p>
        </w:tc>
      </w:tr>
      <w:tr w:rsidR="00691D62" w:rsidRPr="00D65768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91D62" w:rsidRPr="00126B82" w:rsidRDefault="00691D62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0A02" w:rsidRDefault="00CA0A02" w:rsidP="00315EE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691D62" w:rsidRPr="00E678DD" w:rsidRDefault="003C1639" w:rsidP="00315EEE">
            <w:pPr>
              <w:suppressAutoHyphens/>
              <w:spacing w:after="0" w:line="240" w:lineRule="auto"/>
              <w:ind w:left="115" w:right="14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  <w:r w:rsidR="004F203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  <w:r w:rsidR="00CA0A02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календарн</w:t>
            </w:r>
            <w:r w:rsidR="004F203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і дні</w:t>
            </w:r>
            <w:r w:rsidR="00CA0A02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з дня оприлюднення інформації про проведення конкурсу на офіційних веб-сайтах Попаснянської райдержадміністрації та </w:t>
            </w:r>
            <w:r w:rsidR="00CA0A0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НАДС (останній день прийому документів – </w:t>
            </w:r>
            <w:r w:rsidR="004F203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27</w:t>
            </w:r>
            <w:r w:rsidR="00CA0A0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.0</w:t>
            </w:r>
            <w:r w:rsidR="004F203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  <w:r w:rsidR="00CA0A0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.201</w:t>
            </w:r>
            <w:r w:rsidR="004F203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9</w:t>
            </w:r>
            <w:r w:rsidR="00CA0A0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року).</w:t>
            </w:r>
          </w:p>
        </w:tc>
      </w:tr>
      <w:tr w:rsidR="00FA3431" w:rsidRPr="004A43CF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A3431" w:rsidRPr="00AE7EDE" w:rsidRDefault="00AE7EDE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val="uk-UA" w:eastAsia="ar-SA"/>
              </w:rPr>
            </w:pPr>
            <w:r w:rsidRPr="00AE7E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Місце, час і дата початку </w:t>
            </w:r>
            <w:r w:rsidRPr="00AE7E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проведення конкурсу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3431" w:rsidRPr="00126B82" w:rsidRDefault="004F2039" w:rsidP="004F203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0</w:t>
            </w:r>
            <w:r w:rsidR="00316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  <w:r w:rsidR="00FA3431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0066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  <w:r w:rsidR="00FA3431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FA3431" w:rsidRPr="00482F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  <w:r w:rsidR="00FA3431" w:rsidRPr="00482F6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року о 1</w:t>
            </w:r>
            <w:r w:rsidR="00FA343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  <w:r w:rsidR="00FA3431" w:rsidRPr="00482F6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-00 за адресою: 93302 Луганська </w:t>
            </w:r>
            <w:r w:rsidR="00FA3431" w:rsidRPr="00482F69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обл., м. Попасна, площа. Миру, 2</w:t>
            </w:r>
          </w:p>
        </w:tc>
      </w:tr>
      <w:tr w:rsidR="00FA3431" w:rsidRPr="004A43CF" w:rsidTr="009477B5">
        <w:tc>
          <w:tcPr>
            <w:tcW w:w="382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3431" w:rsidRPr="00126B82" w:rsidRDefault="004F2039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Вичисенко Вікторія Олександрівна</w:t>
            </w:r>
            <w:r w:rsidR="00FA3431" w:rsidRPr="00126B8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, </w:t>
            </w:r>
          </w:p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FA3431" w:rsidRPr="00126B82" w:rsidRDefault="00624774" w:rsidP="00F7791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hyperlink r:id="rId8" w:history="1">
              <w:r w:rsidR="00FA3431" w:rsidRPr="00126B82">
                <w:rPr>
                  <w:rFonts w:ascii="Antiqua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FA3431" w:rsidRPr="00126B82">
                <w:rPr>
                  <w:rFonts w:ascii="Antiqua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FA3431" w:rsidRPr="00126B82">
                <w:rPr>
                  <w:rFonts w:ascii="Antiqua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FA3431" w:rsidRPr="00126B82">
              <w:rPr>
                <w:rFonts w:ascii="Antiqua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FA3431" w:rsidRPr="00126B82">
              <w:rPr>
                <w:rFonts w:ascii="Antiqua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FA3431" w:rsidRPr="00126B82">
              <w:rPr>
                <w:rFonts w:ascii="Antiqua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FA3431" w:rsidRPr="00126B82">
              <w:rPr>
                <w:rFonts w:ascii="Antiqua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FA3431" w:rsidRPr="004A43CF" w:rsidTr="00D57657">
        <w:tc>
          <w:tcPr>
            <w:tcW w:w="9363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3431" w:rsidRPr="00482F69" w:rsidRDefault="00665597" w:rsidP="00F77913">
            <w:pPr>
              <w:suppressLineNumbers/>
              <w:suppressAutoHyphens/>
              <w:spacing w:after="0" w:line="240" w:lineRule="auto"/>
              <w:jc w:val="center"/>
              <w:rPr>
                <w:rFonts w:ascii="Antiqua" w:hAnsi="Antiqua" w:cs="Antiqua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Кваліфікаційні вимоги</w:t>
            </w:r>
          </w:p>
        </w:tc>
      </w:tr>
      <w:tr w:rsidR="00DB2B7C" w:rsidRPr="00DA1D41" w:rsidTr="00DB2B7C">
        <w:trPr>
          <w:trHeight w:val="2312"/>
        </w:trPr>
        <w:tc>
          <w:tcPr>
            <w:tcW w:w="712" w:type="dxa"/>
            <w:tcBorders>
              <w:top w:val="nil"/>
              <w:left w:val="single" w:sz="8" w:space="0" w:color="808080"/>
              <w:right w:val="nil"/>
            </w:tcBorders>
          </w:tcPr>
          <w:p w:rsidR="00DB2B7C" w:rsidRPr="00126B82" w:rsidRDefault="00DB2B7C" w:rsidP="00F77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6B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8" w:space="0" w:color="808080"/>
              <w:right w:val="nil"/>
            </w:tcBorders>
          </w:tcPr>
          <w:p w:rsidR="00DB2B7C" w:rsidRDefault="00DB2B7C" w:rsidP="00F779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Освіта</w:t>
            </w:r>
          </w:p>
          <w:p w:rsidR="00DB2B7C" w:rsidRPr="00126B82" w:rsidRDefault="00DB2B7C" w:rsidP="00F779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DB2B7C" w:rsidRPr="006521CC" w:rsidRDefault="00A9316C" w:rsidP="00DB2B7C">
            <w:pPr>
              <w:spacing w:before="150" w:after="150" w:line="240" w:lineRule="auto"/>
              <w:ind w:left="7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  <w:r w:rsidRPr="00285B7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ища освіта </w:t>
            </w:r>
            <w:r w:rsidR="00DA1D4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не нижче магістра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 однією із спеціальностей: «Соціологія», «Соціальна робота», «Соціальне забезпечення», «Психологія», «Політологія»,</w:t>
            </w:r>
            <w:r w:rsidR="00565CC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«Право»,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«Публічне управління та адміністрування», «Професійна освіта», «Економіка».</w:t>
            </w:r>
          </w:p>
        </w:tc>
      </w:tr>
      <w:tr w:rsidR="00FA3431" w:rsidRPr="004A43CF" w:rsidTr="00DB2B7C">
        <w:tc>
          <w:tcPr>
            <w:tcW w:w="71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</w:tcPr>
          <w:p w:rsidR="00FA3431" w:rsidRPr="00126B82" w:rsidRDefault="00FA3431" w:rsidP="00F779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26B8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</w:tcPr>
          <w:p w:rsidR="00FA3431" w:rsidRPr="00126B82" w:rsidRDefault="00665597" w:rsidP="00F779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3431" w:rsidRPr="00126B82" w:rsidRDefault="00565CC3" w:rsidP="00F77913">
            <w:pPr>
              <w:spacing w:before="150" w:after="150" w:line="240" w:lineRule="auto"/>
              <w:ind w:left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FA3431" w:rsidRPr="004A43CF" w:rsidTr="009477B5">
        <w:tc>
          <w:tcPr>
            <w:tcW w:w="7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26B82"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31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FA3431" w:rsidRPr="00126B82" w:rsidRDefault="00FA3431" w:rsidP="003D2A2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Володіння  мов</w:t>
            </w:r>
            <w:r w:rsidR="003D2A2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ами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A3431" w:rsidRPr="00126B82" w:rsidRDefault="00FA3431" w:rsidP="00F77913">
            <w:pPr>
              <w:suppressLineNumbers/>
              <w:suppressAutoHyphens/>
              <w:spacing w:after="0" w:line="240" w:lineRule="auto"/>
              <w:rPr>
                <w:rFonts w:ascii="Antiqua" w:hAnsi="Antiqua" w:cs="Antiqua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вільне </w:t>
            </w:r>
            <w:r w:rsidR="003D2A2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володіння державною мовою</w:t>
            </w:r>
          </w:p>
        </w:tc>
      </w:tr>
      <w:tr w:rsidR="00FA3431" w:rsidRPr="004A43CF" w:rsidTr="00D57657">
        <w:tc>
          <w:tcPr>
            <w:tcW w:w="9363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A3431" w:rsidRPr="00482F69" w:rsidRDefault="009477B5" w:rsidP="006E7FD3">
            <w:pPr>
              <w:suppressLineNumbers/>
              <w:suppressAutoHyphens/>
              <w:spacing w:after="0" w:line="240" w:lineRule="auto"/>
              <w:jc w:val="center"/>
              <w:rPr>
                <w:rFonts w:ascii="Antiqua" w:hAnsi="Antiqua" w:cs="Antiqua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</w:t>
            </w:r>
            <w:r w:rsidR="006E7FD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компетентності</w:t>
            </w:r>
          </w:p>
        </w:tc>
      </w:tr>
      <w:tr w:rsidR="00C93F6D" w:rsidRPr="00DA1D41" w:rsidTr="00600A95">
        <w:tc>
          <w:tcPr>
            <w:tcW w:w="7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3F6D" w:rsidRDefault="00C93F6D" w:rsidP="0078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3F6D" w:rsidRPr="00C93F6D" w:rsidRDefault="00C93F6D" w:rsidP="00C93F6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C93F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Уміння працювати з комп'ютером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3F6D" w:rsidRPr="00C93F6D" w:rsidRDefault="00C93F6D" w:rsidP="00C93F6D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F6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(MS Office, Outlook Express, Internet)</w:t>
            </w:r>
          </w:p>
          <w:p w:rsidR="00C93F6D" w:rsidRPr="00C93F6D" w:rsidRDefault="00C93F6D" w:rsidP="00C93F6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C93F6D" w:rsidRPr="00A20716" w:rsidTr="00696A9E">
        <w:tc>
          <w:tcPr>
            <w:tcW w:w="712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C93F6D" w:rsidRDefault="00C93F6D" w:rsidP="0078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C93F6D" w:rsidRPr="00C93F6D" w:rsidRDefault="00C93F6D" w:rsidP="00C93F6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uk-UA" w:eastAsia="zh-CN" w:bidi="hi-IN"/>
              </w:rPr>
            </w:pPr>
            <w:r w:rsidRPr="00C93F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C93F6D" w:rsidRPr="00C93F6D" w:rsidRDefault="00C93F6D" w:rsidP="00C93F6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C93F6D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здібності, діалогове спілкування, навички самоконтролю, вміння активно слухати, виваженість, концентрація на деталях, субординація, вміння аргументовано доводити власну точку зору, стратегічне мислення, навички розв'язання проблем, уміння працювати в команді.</w:t>
            </w:r>
          </w:p>
        </w:tc>
      </w:tr>
      <w:tr w:rsidR="00C93F6D" w:rsidRPr="00DA1D41" w:rsidTr="00696A9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6D" w:rsidRDefault="00C93F6D" w:rsidP="0078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D" w:rsidRPr="00C93F6D" w:rsidRDefault="00C93F6D" w:rsidP="00C93F6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uk-UA" w:eastAsia="zh-CN" w:bidi="hi-IN"/>
              </w:rPr>
            </w:pPr>
            <w:r w:rsidRPr="00C93F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6D" w:rsidRPr="00C93F6D" w:rsidRDefault="00C93F6D" w:rsidP="00C93F6D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val="uk-UA" w:eastAsia="zh-CN" w:bidi="hi-IN"/>
              </w:rPr>
            </w:pPr>
            <w:r w:rsidRPr="00C93F6D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Креативність, ініціативність, надійність, порядність, чесність, дисциплінованість, тактовність, готовність допомогти, емоційна стабільність, комунікабельність, повага до інших, відповідальність, рішучість, автономність.</w:t>
            </w:r>
          </w:p>
        </w:tc>
      </w:tr>
      <w:tr w:rsidR="00C93F6D" w:rsidRPr="00DA1D41" w:rsidTr="00691D62">
        <w:tc>
          <w:tcPr>
            <w:tcW w:w="9363" w:type="dxa"/>
            <w:gridSpan w:val="3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C93F6D" w:rsidRPr="007872B2" w:rsidRDefault="00C93F6D" w:rsidP="007872B2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93F6D" w:rsidRPr="00A20716" w:rsidTr="003D57BA">
        <w:tc>
          <w:tcPr>
            <w:tcW w:w="9363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3F6D" w:rsidRPr="0027630B" w:rsidRDefault="00C93F6D" w:rsidP="007872B2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lang w:val="uk-UA"/>
              </w:rPr>
            </w:pPr>
            <w:r w:rsidRPr="0027630B">
              <w:rPr>
                <w:b/>
                <w:lang w:val="uk-UA"/>
              </w:rPr>
              <w:t>Професійні знання</w:t>
            </w:r>
          </w:p>
        </w:tc>
      </w:tr>
      <w:tr w:rsidR="00C93F6D" w:rsidRPr="00D65768" w:rsidTr="009477B5">
        <w:tc>
          <w:tcPr>
            <w:tcW w:w="7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3F6D" w:rsidRPr="00126B82" w:rsidRDefault="00C93F6D" w:rsidP="0078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3F6D" w:rsidRPr="00126B82" w:rsidRDefault="00C93F6D" w:rsidP="007872B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26B8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Знання законодавства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3F6D" w:rsidRPr="004A43CF" w:rsidRDefault="00C93F6D" w:rsidP="007872B2">
            <w:pPr>
              <w:numPr>
                <w:ilvl w:val="0"/>
                <w:numId w:val="1"/>
              </w:numPr>
              <w:tabs>
                <w:tab w:val="clear" w:pos="720"/>
                <w:tab w:val="num" w:pos="541"/>
              </w:tabs>
              <w:suppressAutoHyphens/>
              <w:spacing w:after="0" w:line="240" w:lineRule="auto"/>
              <w:ind w:hanging="46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A43C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Конституція України;</w:t>
            </w:r>
          </w:p>
          <w:p w:rsidR="00C93F6D" w:rsidRDefault="00C93F6D" w:rsidP="007872B2">
            <w:pPr>
              <w:numPr>
                <w:ilvl w:val="0"/>
                <w:numId w:val="1"/>
              </w:numPr>
              <w:tabs>
                <w:tab w:val="num" w:pos="512"/>
              </w:tabs>
              <w:suppressAutoHyphens/>
              <w:spacing w:after="0" w:line="240" w:lineRule="auto"/>
              <w:ind w:hanging="46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A43C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Закон України</w:t>
            </w:r>
          </w:p>
          <w:p w:rsidR="00C93F6D" w:rsidRDefault="00C93F6D" w:rsidP="007872B2">
            <w:pPr>
              <w:suppressAutoHyphens/>
              <w:spacing w:after="0" w:line="240" w:lineRule="auto"/>
              <w:ind w:left="541" w:hanging="142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A43C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«Про державну службу»;</w:t>
            </w:r>
          </w:p>
          <w:p w:rsidR="00C93F6D" w:rsidRPr="00126B82" w:rsidRDefault="00C93F6D" w:rsidP="007872B2">
            <w:pPr>
              <w:suppressAutoHyphens/>
              <w:spacing w:after="0" w:line="240" w:lineRule="auto"/>
              <w:ind w:left="872" w:hanging="473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«Про запобігання корупції».</w:t>
            </w:r>
          </w:p>
        </w:tc>
      </w:tr>
      <w:tr w:rsidR="00C93F6D" w:rsidRPr="00DA1D41" w:rsidTr="009477B5">
        <w:tc>
          <w:tcPr>
            <w:tcW w:w="71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3F6D" w:rsidRPr="00126B82" w:rsidRDefault="00C93F6D" w:rsidP="007872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3F6D" w:rsidRPr="00126B82" w:rsidRDefault="00C93F6D" w:rsidP="007872B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Знання спеціального законодавства, що пов’язане із завданнями та змістом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роботи держслужбовця відповідно до посадової інструкції та положення про відділ</w:t>
            </w:r>
          </w:p>
        </w:tc>
        <w:tc>
          <w:tcPr>
            <w:tcW w:w="55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3F6D" w:rsidRPr="00DE0D2B" w:rsidRDefault="00C93F6D" w:rsidP="007872B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 </w:t>
            </w:r>
            <w:hyperlink r:id="rId9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и</w:t>
              </w:r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 xml:space="preserve">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315EEE" w:rsidRPr="00AA31CC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 w:rsidRPr="00AA31CC">
              <w:t>«Про місцеві державні адміністрації»;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 w:rsidRPr="00AA31CC">
              <w:t>«Про військово</w:t>
            </w:r>
            <w:r>
              <w:t>-</w:t>
            </w:r>
            <w:r w:rsidRPr="00AA31CC">
              <w:t>цивільні адміністрації»;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lastRenderedPageBreak/>
              <w:t>«Про місцеве самоврядування в Україні»;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«Про Кабінет міністрів України»;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«Про центральні органи виконавчої влади»;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«Про доступ до публічно інформації»;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«Про адміністративні послуги»;</w:t>
            </w:r>
          </w:p>
          <w:p w:rsidR="00315EEE" w:rsidRPr="00AA31CC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«Про засади запобігання та протидії дискримінації в України»;</w:t>
            </w:r>
          </w:p>
          <w:p w:rsidR="00315EEE" w:rsidRPr="00AA31CC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 w:rsidRPr="00AA31CC">
              <w:t>«Про очищення влади»;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 w:rsidRPr="00AA31CC">
              <w:t xml:space="preserve"> «Про захист персональних даних»</w:t>
            </w:r>
            <w:r>
              <w:t>.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3) Бюджетний кодекс України;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4) Податковий кодекс України;</w:t>
            </w:r>
          </w:p>
          <w:p w:rsidR="00315EEE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5)Кодекс законів про працю України;</w:t>
            </w:r>
          </w:p>
          <w:p w:rsidR="00315EEE" w:rsidRPr="00AA31CC" w:rsidRDefault="00315EEE" w:rsidP="00315EEE">
            <w:pPr>
              <w:pStyle w:val="rvps14"/>
              <w:spacing w:before="0" w:beforeAutospacing="0" w:after="0" w:afterAutospacing="0"/>
              <w:textAlignment w:val="baseline"/>
            </w:pPr>
            <w:r>
              <w:t>6) Цивільний кодекс України;</w:t>
            </w:r>
          </w:p>
          <w:p w:rsidR="00315EEE" w:rsidRDefault="00315EEE" w:rsidP="00315EE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F115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останова Кабінету Міністрів України від 01.10.2014 №505 «</w:t>
            </w:r>
            <w:r w:rsidRPr="00F1157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послуг»;</w:t>
            </w:r>
          </w:p>
          <w:p w:rsidR="00315EEE" w:rsidRPr="00F94B14" w:rsidRDefault="00315EEE" w:rsidP="00F94B1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8)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інші нормативно-правові акти,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накази Міністерства соціальної політики України,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регулюють питання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соціальної політики та пов’язані з функціями </w:t>
            </w:r>
            <w:r w:rsidRPr="00F94B14">
              <w:rPr>
                <w:rFonts w:ascii="Times New Roman" w:hAnsi="Times New Roman"/>
                <w:lang w:val="uk-UA"/>
              </w:rPr>
              <w:t xml:space="preserve">управління  та діловодства </w:t>
            </w:r>
          </w:p>
          <w:p w:rsidR="00315EEE" w:rsidRPr="00F1157E" w:rsidRDefault="00315EEE" w:rsidP="00315EEE">
            <w:pPr>
              <w:spacing w:after="0" w:line="240" w:lineRule="auto"/>
              <w:ind w:right="14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15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«Про забезпечення прав і свобод внутрішньо переміщених осіб»;</w:t>
            </w:r>
          </w:p>
          <w:p w:rsidR="00C93F6D" w:rsidRPr="00126B82" w:rsidRDefault="00315EEE" w:rsidP="00315EEE">
            <w:pPr>
              <w:spacing w:after="0" w:line="240" w:lineRule="auto"/>
              <w:textAlignment w:val="baseline"/>
              <w:rPr>
                <w:rFonts w:ascii="Antiqua" w:hAnsi="Antiqua" w:cs="Antiqua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A31CC">
              <w:rPr>
                <w:rFonts w:ascii="Times New Roman" w:hAnsi="Times New Roman"/>
                <w:sz w:val="24"/>
                <w:szCs w:val="24"/>
                <w:lang w:val="uk-UA"/>
              </w:rPr>
              <w:t>) Акти Президента України та  Кабінету Міністрів України,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Верховної Ради України, що стосуються державної служби, діяльності місцевих державних адміністрацій, військово-цивільних адміністрацій, запобігання корупції.</w:t>
            </w:r>
          </w:p>
        </w:tc>
      </w:tr>
    </w:tbl>
    <w:p w:rsidR="00FA3431" w:rsidRPr="00126B82" w:rsidRDefault="00FA3431" w:rsidP="00C40C6F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DA6061" w:rsidRDefault="00DA606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A3431" w:rsidRPr="00126B82" w:rsidRDefault="00595106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FA3431" w:rsidRPr="00126B82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  <w:r w:rsidR="00DA606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Н. СКРЕБЦОВА</w:t>
      </w:r>
    </w:p>
    <w:sectPr w:rsidR="00FA3431" w:rsidRPr="00126B82" w:rsidSect="001D2F5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E5E008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17457118"/>
    <w:multiLevelType w:val="hybridMultilevel"/>
    <w:tmpl w:val="A404A600"/>
    <w:lvl w:ilvl="0" w:tplc="4D74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4B3"/>
    <w:multiLevelType w:val="hybridMultilevel"/>
    <w:tmpl w:val="DF86D4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1176B26"/>
    <w:multiLevelType w:val="hybridMultilevel"/>
    <w:tmpl w:val="5EE02B68"/>
    <w:lvl w:ilvl="0" w:tplc="C3B6973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853C3"/>
    <w:multiLevelType w:val="hybridMultilevel"/>
    <w:tmpl w:val="DFCAFC54"/>
    <w:lvl w:ilvl="0" w:tplc="E0969E4C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7AD472B4"/>
    <w:multiLevelType w:val="hybridMultilevel"/>
    <w:tmpl w:val="766ED010"/>
    <w:lvl w:ilvl="0" w:tplc="E0969E4C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6F"/>
    <w:rsid w:val="000066C6"/>
    <w:rsid w:val="00096026"/>
    <w:rsid w:val="000B5078"/>
    <w:rsid w:val="00126B82"/>
    <w:rsid w:val="00153228"/>
    <w:rsid w:val="001B5B6E"/>
    <w:rsid w:val="001C5385"/>
    <w:rsid w:val="001D2F5C"/>
    <w:rsid w:val="00231B4A"/>
    <w:rsid w:val="0027630B"/>
    <w:rsid w:val="002A41AD"/>
    <w:rsid w:val="0030720F"/>
    <w:rsid w:val="00315EEE"/>
    <w:rsid w:val="00316081"/>
    <w:rsid w:val="00324EFA"/>
    <w:rsid w:val="00335FCB"/>
    <w:rsid w:val="00342113"/>
    <w:rsid w:val="003C1639"/>
    <w:rsid w:val="003C508A"/>
    <w:rsid w:val="003D2A26"/>
    <w:rsid w:val="00435A20"/>
    <w:rsid w:val="00482F69"/>
    <w:rsid w:val="004A43CF"/>
    <w:rsid w:val="004C4E5F"/>
    <w:rsid w:val="004D1176"/>
    <w:rsid w:val="004F1DDF"/>
    <w:rsid w:val="004F2039"/>
    <w:rsid w:val="0052116F"/>
    <w:rsid w:val="00541A54"/>
    <w:rsid w:val="005634FF"/>
    <w:rsid w:val="00565CC3"/>
    <w:rsid w:val="00590329"/>
    <w:rsid w:val="0059469C"/>
    <w:rsid w:val="00595106"/>
    <w:rsid w:val="005C2852"/>
    <w:rsid w:val="005F367A"/>
    <w:rsid w:val="005F7110"/>
    <w:rsid w:val="00624774"/>
    <w:rsid w:val="006521CC"/>
    <w:rsid w:val="00665597"/>
    <w:rsid w:val="00681170"/>
    <w:rsid w:val="00691D62"/>
    <w:rsid w:val="00696A9E"/>
    <w:rsid w:val="00697B65"/>
    <w:rsid w:val="006B14C8"/>
    <w:rsid w:val="006B41BD"/>
    <w:rsid w:val="006D7DF6"/>
    <w:rsid w:val="006E7FD3"/>
    <w:rsid w:val="007872B2"/>
    <w:rsid w:val="007F22DE"/>
    <w:rsid w:val="00824776"/>
    <w:rsid w:val="008B0B51"/>
    <w:rsid w:val="009477B5"/>
    <w:rsid w:val="00992E30"/>
    <w:rsid w:val="009C664F"/>
    <w:rsid w:val="009F1EF3"/>
    <w:rsid w:val="00A1058A"/>
    <w:rsid w:val="00A20716"/>
    <w:rsid w:val="00A26BBD"/>
    <w:rsid w:val="00A46872"/>
    <w:rsid w:val="00A9316C"/>
    <w:rsid w:val="00AE7EDE"/>
    <w:rsid w:val="00B30B2B"/>
    <w:rsid w:val="00B34C61"/>
    <w:rsid w:val="00B655EA"/>
    <w:rsid w:val="00BB70DF"/>
    <w:rsid w:val="00BF154C"/>
    <w:rsid w:val="00BF604E"/>
    <w:rsid w:val="00C40C6F"/>
    <w:rsid w:val="00C70E5C"/>
    <w:rsid w:val="00C93F6D"/>
    <w:rsid w:val="00CA0A02"/>
    <w:rsid w:val="00CD4536"/>
    <w:rsid w:val="00D57657"/>
    <w:rsid w:val="00D634EC"/>
    <w:rsid w:val="00D65768"/>
    <w:rsid w:val="00DA1D41"/>
    <w:rsid w:val="00DA6061"/>
    <w:rsid w:val="00DB2B7C"/>
    <w:rsid w:val="00E33289"/>
    <w:rsid w:val="00E36764"/>
    <w:rsid w:val="00E933AD"/>
    <w:rsid w:val="00E93B8C"/>
    <w:rsid w:val="00EE064E"/>
    <w:rsid w:val="00EF1193"/>
    <w:rsid w:val="00F04E91"/>
    <w:rsid w:val="00F77913"/>
    <w:rsid w:val="00F903F3"/>
    <w:rsid w:val="00F94B14"/>
    <w:rsid w:val="00FA1EE6"/>
    <w:rsid w:val="00FA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F2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A1EE6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7872B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D2F5C"/>
    <w:pPr>
      <w:ind w:left="720"/>
      <w:contextualSpacing/>
    </w:pPr>
  </w:style>
  <w:style w:type="paragraph" w:customStyle="1" w:styleId="rvps14">
    <w:name w:val="rvps14"/>
    <w:basedOn w:val="a"/>
    <w:rsid w:val="00696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6">
    <w:name w:val="p16"/>
    <w:basedOn w:val="a"/>
    <w:qFormat/>
    <w:rsid w:val="00315EEE"/>
    <w:pPr>
      <w:widowControl w:val="0"/>
      <w:suppressAutoHyphens/>
      <w:spacing w:before="280" w:after="280" w:line="240" w:lineRule="auto"/>
    </w:pPr>
    <w:rPr>
      <w:rFonts w:ascii="Liberation Serif;Times New Roma" w:eastAsia="SimSun" w:hAnsi="Liberation Serif;Times New Roma" w:cs="Mangal"/>
      <w:sz w:val="24"/>
      <w:szCs w:val="24"/>
      <w:lang w:val="uk-UA" w:eastAsia="zh-CN" w:bidi="hi-IN"/>
    </w:rPr>
  </w:style>
  <w:style w:type="character" w:customStyle="1" w:styleId="apple-converted-space">
    <w:name w:val="apple-converted-space"/>
    <w:qFormat/>
    <w:rsid w:val="00315EEE"/>
    <w:rPr>
      <w:rFonts w:ascii="Times New Roman" w:hAnsi="Times New Roman" w:cs="Times New Roman" w:hint="default"/>
    </w:rPr>
  </w:style>
  <w:style w:type="character" w:customStyle="1" w:styleId="s3">
    <w:name w:val="s3"/>
    <w:qFormat/>
    <w:rsid w:val="00315EEE"/>
    <w:rPr>
      <w:rFonts w:ascii="Times New Roman" w:hAnsi="Times New Roman" w:cs="Times New Roman" w:hint="default"/>
    </w:rPr>
  </w:style>
  <w:style w:type="character" w:customStyle="1" w:styleId="a7">
    <w:name w:val="Виділення"/>
    <w:qFormat/>
    <w:rsid w:val="00315E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17lk@ukrpost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zakon3.rada.gov.ua%252Flaws%252Fshow%252F1682-18%252Fparan14%2522%2520%255Cl%2520%2522n14%2522%2520%255Ct%2520%2522_blank%26ts%3D1480487405%26uid%3D444657841467622568&amp;sign=98b03df792bb2306c38d61517db0cc97&amp;keyno=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zakon3.rada.gov.ua%252Flaws%252Fshow%252F1682-18%252Fparan13%2522%2520%255Cl%2520%2522n13%2522%2520%255Ct%2520%2522_blank%26ts%3D1480487405%26uid%3D444657841467622568&amp;sign=2eab818f61644c15d45a3508007f7be6&amp;keyno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A065-48EA-4190-AA35-996D9D6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2019-02-06T07:22:00Z</cp:lastPrinted>
  <dcterms:created xsi:type="dcterms:W3CDTF">2016-09-27T06:44:00Z</dcterms:created>
  <dcterms:modified xsi:type="dcterms:W3CDTF">2019-02-06T08:31:00Z</dcterms:modified>
</cp:coreProperties>
</file>